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D0FC390" w14:textId="77777777" w:rsidR="004B0ED3" w:rsidRPr="00B33C20" w:rsidRDefault="004B0ED3" w:rsidP="004B0ED3">
      <w:pPr>
        <w:adjustRightInd w:val="0"/>
        <w:snapToGrid w:val="0"/>
        <w:rPr>
          <w:rFonts w:ascii="Palatino Linotype" w:hAnsi="Palatino Linotype"/>
          <w:b/>
          <w:sz w:val="20"/>
          <w:szCs w:val="20"/>
        </w:rPr>
      </w:pPr>
      <w:r w:rsidRPr="00B33C20">
        <w:rPr>
          <w:rFonts w:ascii="Palatino Linotype" w:hAnsi="Palatino Linotype"/>
          <w:b/>
          <w:sz w:val="20"/>
          <w:szCs w:val="20"/>
        </w:rPr>
        <w:t xml:space="preserve">Supplementary materials: </w:t>
      </w:r>
    </w:p>
    <w:p w14:paraId="40CE5171" w14:textId="77777777" w:rsidR="00177721" w:rsidRDefault="004B0ED3" w:rsidP="00B33C20">
      <w:pPr>
        <w:adjustRightInd w:val="0"/>
        <w:snapToGrid w:val="0"/>
        <w:jc w:val="center"/>
      </w:pPr>
      <w:r w:rsidRPr="004B0ED3">
        <w:rPr>
          <w:noProof/>
        </w:rPr>
        <w:drawing>
          <wp:inline distT="0" distB="0" distL="0" distR="0" wp14:anchorId="639CB877" wp14:editId="0E5DA62B">
            <wp:extent cx="5486400" cy="35718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725A1" w14:textId="77777777" w:rsidR="004B0ED3" w:rsidRPr="00B33C20" w:rsidRDefault="004B0ED3" w:rsidP="00B33C20">
      <w:pPr>
        <w:autoSpaceDE w:val="0"/>
        <w:autoSpaceDN w:val="0"/>
        <w:adjustRightInd w:val="0"/>
        <w:spacing w:before="120" w:after="240" w:line="260" w:lineRule="atLeast"/>
        <w:ind w:left="425" w:right="425"/>
        <w:rPr>
          <w:rFonts w:ascii="Palatino Linotype" w:eastAsia="CIDFont+F3" w:hAnsi="Palatino Linotype" w:cs="CIDFont+F3"/>
          <w:sz w:val="18"/>
          <w:szCs w:val="18"/>
        </w:rPr>
      </w:pPr>
      <w:r w:rsidRPr="00B33C20">
        <w:rPr>
          <w:rFonts w:ascii="Palatino Linotype" w:eastAsia="CIDFont+F2" w:hAnsi="Palatino Linotype" w:cs="CIDFont+F2"/>
          <w:b/>
          <w:sz w:val="18"/>
          <w:szCs w:val="18"/>
        </w:rPr>
        <w:t>Figure S1.</w:t>
      </w:r>
      <w:r w:rsidRPr="00B33C20">
        <w:rPr>
          <w:rFonts w:ascii="Palatino Linotype" w:eastAsia="CIDFont+F2" w:hAnsi="Palatino Linotype" w:cs="CIDFont+F2"/>
          <w:sz w:val="18"/>
          <w:szCs w:val="18"/>
        </w:rPr>
        <w:t xml:space="preserve"> </w:t>
      </w:r>
      <w:r w:rsidRPr="00B33C20">
        <w:rPr>
          <w:rFonts w:ascii="Palatino Linotype" w:eastAsia="CIDFont+F3" w:hAnsi="Palatino Linotype" w:cs="CIDFont+F3"/>
          <w:sz w:val="18"/>
          <w:szCs w:val="18"/>
        </w:rPr>
        <w:t xml:space="preserve">Spatial localization of NET4A. NET4A-GFP expression under its endogenous promoter in Arabidopsis roots. Expression starts in the late meristem, initially only in trichoblast cells (Figure 1a). </w:t>
      </w:r>
      <w:r w:rsidRPr="00B33C20">
        <w:rPr>
          <w:rFonts w:ascii="Palatino Linotype" w:eastAsia="CIDFont+F2" w:hAnsi="Palatino Linotype" w:cs="CIDFont+F2"/>
          <w:sz w:val="18"/>
          <w:szCs w:val="18"/>
        </w:rPr>
        <w:t>(</w:t>
      </w:r>
      <w:r w:rsidRPr="00B33C20">
        <w:rPr>
          <w:rFonts w:ascii="Palatino Linotype" w:eastAsia="CIDFont+F2" w:hAnsi="Palatino Linotype" w:cs="CIDFont+F2"/>
          <w:b/>
          <w:sz w:val="18"/>
          <w:szCs w:val="18"/>
        </w:rPr>
        <w:t>a</w:t>
      </w:r>
      <w:r w:rsidRPr="00B33C20">
        <w:rPr>
          <w:rFonts w:ascii="Palatino Linotype" w:eastAsia="CIDFont+F2" w:hAnsi="Palatino Linotype" w:cs="CIDFont+F2"/>
          <w:sz w:val="18"/>
          <w:szCs w:val="18"/>
        </w:rPr>
        <w:t xml:space="preserve"> and </w:t>
      </w:r>
      <w:r w:rsidRPr="00B33C20">
        <w:rPr>
          <w:rFonts w:ascii="Palatino Linotype" w:eastAsia="CIDFont+F2" w:hAnsi="Palatino Linotype" w:cs="CIDFont+F2"/>
          <w:b/>
          <w:sz w:val="18"/>
          <w:szCs w:val="18"/>
        </w:rPr>
        <w:t>b</w:t>
      </w:r>
      <w:r w:rsidRPr="00B33C20">
        <w:rPr>
          <w:rFonts w:ascii="Palatino Linotype" w:eastAsia="CIDFont+F2" w:hAnsi="Palatino Linotype" w:cs="CIDFont+F2"/>
          <w:sz w:val="18"/>
          <w:szCs w:val="18"/>
        </w:rPr>
        <w:t xml:space="preserve">) </w:t>
      </w:r>
      <w:r w:rsidRPr="00B33C20">
        <w:rPr>
          <w:rFonts w:ascii="Palatino Linotype" w:eastAsia="CIDFont+F3" w:hAnsi="Palatino Linotype" w:cs="CIDFont+F3"/>
          <w:sz w:val="18"/>
          <w:szCs w:val="18"/>
        </w:rPr>
        <w:t xml:space="preserve">In (larger) atrichoblast cells, expression starts in the transition zone and continuous until the elongation zone. </w:t>
      </w:r>
      <w:r w:rsidRPr="00B33C20">
        <w:rPr>
          <w:rFonts w:ascii="Palatino Linotype" w:eastAsia="CIDFont+F2" w:hAnsi="Palatino Linotype" w:cs="CIDFont+F2"/>
          <w:sz w:val="18"/>
          <w:szCs w:val="18"/>
        </w:rPr>
        <w:t>(</w:t>
      </w:r>
      <w:r w:rsidRPr="00B33C20">
        <w:rPr>
          <w:rFonts w:ascii="Palatino Linotype" w:eastAsia="CIDFont+F2" w:hAnsi="Palatino Linotype" w:cs="CIDFont+F2"/>
          <w:b/>
          <w:sz w:val="18"/>
          <w:szCs w:val="18"/>
        </w:rPr>
        <w:t>c</w:t>
      </w:r>
      <w:r w:rsidRPr="00B33C20">
        <w:rPr>
          <w:rFonts w:ascii="Palatino Linotype" w:eastAsia="CIDFont+F2" w:hAnsi="Palatino Linotype" w:cs="CIDFont+F2"/>
          <w:sz w:val="18"/>
          <w:szCs w:val="18"/>
        </w:rPr>
        <w:t xml:space="preserve">) </w:t>
      </w:r>
      <w:r w:rsidRPr="00B33C20">
        <w:rPr>
          <w:rFonts w:ascii="Palatino Linotype" w:eastAsia="CIDFont+F3" w:hAnsi="Palatino Linotype" w:cs="CIDFont+F3"/>
          <w:sz w:val="18"/>
          <w:szCs w:val="18"/>
        </w:rPr>
        <w:t>NET4A-GFP is only weakly expressed in the differentiation zone. Propidium iodide (red) was used to stain cell walls. Scale bars: 5 μm.</w:t>
      </w:r>
    </w:p>
    <w:p w14:paraId="010B7991" w14:textId="77777777" w:rsidR="004B0ED3" w:rsidRDefault="004B0ED3" w:rsidP="00B33C20">
      <w:pPr>
        <w:autoSpaceDE w:val="0"/>
        <w:autoSpaceDN w:val="0"/>
        <w:adjustRightInd w:val="0"/>
        <w:spacing w:after="0" w:line="240" w:lineRule="auto"/>
        <w:jc w:val="center"/>
        <w:rPr>
          <w:rFonts w:ascii="Palatino Linotype" w:eastAsia="CIDFont+F3" w:hAnsi="Palatino Linotype" w:cs="CIDFont+F3"/>
          <w:sz w:val="20"/>
          <w:szCs w:val="20"/>
        </w:rPr>
      </w:pPr>
      <w:r w:rsidRPr="00B33C20">
        <w:rPr>
          <w:rFonts w:ascii="Palatino Linotype" w:hAnsi="Palatino Linotype"/>
          <w:noProof/>
          <w:sz w:val="18"/>
          <w:szCs w:val="18"/>
        </w:rPr>
        <w:lastRenderedPageBreak/>
        <w:drawing>
          <wp:inline distT="0" distB="0" distL="0" distR="0" wp14:anchorId="3412F31A" wp14:editId="5604F486">
            <wp:extent cx="5444837" cy="5117138"/>
            <wp:effectExtent l="0" t="0" r="3810" b="762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upplemental Figure S2 for revision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4837" cy="5117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436E9E" w14:textId="77777777" w:rsidR="004B0ED3" w:rsidRPr="00B33C20" w:rsidRDefault="004B0ED3" w:rsidP="00B33C20">
      <w:pPr>
        <w:pStyle w:val="NoSpacing"/>
        <w:spacing w:before="120" w:after="240" w:line="260" w:lineRule="atLeast"/>
        <w:ind w:left="425" w:right="425"/>
        <w:jc w:val="both"/>
        <w:rPr>
          <w:rFonts w:ascii="Palatino Linotype" w:hAnsi="Palatino Linotype"/>
          <w:sz w:val="18"/>
          <w:szCs w:val="18"/>
          <w:lang w:val="en-US"/>
        </w:rPr>
      </w:pPr>
      <w:r w:rsidRPr="00B33C20">
        <w:rPr>
          <w:rFonts w:ascii="Palatino Linotype" w:eastAsia="Times New Roman" w:hAnsi="Palatino Linotype" w:cs="Arial"/>
          <w:b/>
          <w:sz w:val="18"/>
          <w:szCs w:val="18"/>
          <w:lang w:val="en-GB" w:eastAsia="de-DE"/>
        </w:rPr>
        <w:t xml:space="preserve">Figure S2. </w:t>
      </w:r>
      <w:r w:rsidRPr="00B33C20">
        <w:rPr>
          <w:rFonts w:ascii="Palatino Linotype" w:eastAsia="Times New Roman" w:hAnsi="Palatino Linotype" w:cs="Arial"/>
          <w:sz w:val="18"/>
          <w:szCs w:val="18"/>
          <w:lang w:val="en-GB" w:eastAsia="de-DE"/>
        </w:rPr>
        <w:t xml:space="preserve">Loss-of-function mutants of </w:t>
      </w:r>
      <w:r w:rsidRPr="00B33C20">
        <w:rPr>
          <w:rFonts w:ascii="Palatino Linotype" w:eastAsia="Times New Roman" w:hAnsi="Palatino Linotype" w:cs="Arial"/>
          <w:i/>
          <w:sz w:val="18"/>
          <w:szCs w:val="18"/>
          <w:lang w:val="en-GB" w:eastAsia="de-DE"/>
        </w:rPr>
        <w:t>NET4A</w:t>
      </w:r>
      <w:r w:rsidRPr="00B33C20">
        <w:rPr>
          <w:rFonts w:ascii="Palatino Linotype" w:eastAsia="Times New Roman" w:hAnsi="Palatino Linotype" w:cs="Arial"/>
          <w:sz w:val="18"/>
          <w:szCs w:val="18"/>
          <w:lang w:val="en-GB" w:eastAsia="de-DE"/>
        </w:rPr>
        <w:t xml:space="preserve"> and </w:t>
      </w:r>
      <w:r w:rsidRPr="00B33C20">
        <w:rPr>
          <w:rFonts w:ascii="Palatino Linotype" w:eastAsia="Times New Roman" w:hAnsi="Palatino Linotype" w:cs="Arial"/>
          <w:i/>
          <w:sz w:val="18"/>
          <w:szCs w:val="18"/>
          <w:lang w:val="en-GB" w:eastAsia="de-DE"/>
        </w:rPr>
        <w:t>NET4B</w:t>
      </w:r>
      <w:r w:rsidRPr="00B33C20">
        <w:rPr>
          <w:rFonts w:ascii="Palatino Linotype" w:eastAsia="Times New Roman" w:hAnsi="Palatino Linotype" w:cs="Arial"/>
          <w:sz w:val="18"/>
          <w:szCs w:val="18"/>
          <w:lang w:val="en-GB" w:eastAsia="de-DE"/>
        </w:rPr>
        <w:t xml:space="preserve">. </w:t>
      </w:r>
      <w:r w:rsidRPr="00B33C20">
        <w:rPr>
          <w:rFonts w:ascii="Palatino Linotype" w:eastAsia="Times New Roman" w:hAnsi="Palatino Linotype" w:cs="Arial"/>
          <w:b/>
          <w:sz w:val="18"/>
          <w:szCs w:val="18"/>
          <w:lang w:val="en-GB" w:eastAsia="de-DE"/>
        </w:rPr>
        <w:t>(a</w:t>
      </w:r>
      <w:r w:rsidRPr="00B33C20">
        <w:rPr>
          <w:rFonts w:ascii="Palatino Linotype" w:eastAsia="Times New Roman" w:hAnsi="Palatino Linotype" w:cs="Arial"/>
          <w:sz w:val="18"/>
          <w:szCs w:val="18"/>
          <w:lang w:val="en-GB" w:eastAsia="de-DE"/>
        </w:rPr>
        <w:t>-</w:t>
      </w:r>
      <w:r w:rsidRPr="00B33C20">
        <w:rPr>
          <w:rFonts w:ascii="Palatino Linotype" w:eastAsia="Times New Roman" w:hAnsi="Palatino Linotype" w:cs="Arial"/>
          <w:b/>
          <w:sz w:val="18"/>
          <w:szCs w:val="18"/>
          <w:lang w:val="en-GB" w:eastAsia="de-DE"/>
        </w:rPr>
        <w:t>d)</w:t>
      </w:r>
      <w:r w:rsidRPr="00B33C20">
        <w:rPr>
          <w:rFonts w:ascii="Palatino Linotype" w:eastAsia="Times New Roman" w:hAnsi="Palatino Linotype" w:cs="Arial"/>
          <w:sz w:val="18"/>
          <w:szCs w:val="18"/>
          <w:lang w:val="en-GB" w:eastAsia="de-DE"/>
        </w:rPr>
        <w:t xml:space="preserve"> T-DNA insertion sites of </w:t>
      </w:r>
      <w:r w:rsidRPr="00B33C20">
        <w:rPr>
          <w:rFonts w:ascii="Palatino Linotype" w:hAnsi="Palatino Linotype" w:cs="Arial"/>
          <w:i/>
          <w:sz w:val="18"/>
          <w:szCs w:val="18"/>
          <w:lang w:val="en-US"/>
        </w:rPr>
        <w:t xml:space="preserve">net4a-1 </w:t>
      </w:r>
      <w:r w:rsidRPr="00B33C20">
        <w:rPr>
          <w:rFonts w:ascii="Palatino Linotype" w:hAnsi="Palatino Linotype" w:cs="Arial"/>
          <w:sz w:val="18"/>
          <w:szCs w:val="18"/>
          <w:lang w:val="en-US"/>
        </w:rPr>
        <w:t xml:space="preserve">(SALK_017623), </w:t>
      </w:r>
      <w:r w:rsidRPr="00B33C20">
        <w:rPr>
          <w:rFonts w:ascii="Palatino Linotype" w:hAnsi="Palatino Linotype" w:cs="Arial"/>
          <w:i/>
          <w:sz w:val="18"/>
          <w:szCs w:val="18"/>
          <w:lang w:val="en-US"/>
        </w:rPr>
        <w:t xml:space="preserve">net4a-3 </w:t>
      </w:r>
      <w:r w:rsidRPr="00B33C20">
        <w:rPr>
          <w:rFonts w:ascii="Palatino Linotype" w:hAnsi="Palatino Linotype" w:cs="Arial"/>
          <w:sz w:val="18"/>
          <w:szCs w:val="18"/>
          <w:lang w:val="en-US"/>
        </w:rPr>
        <w:t xml:space="preserve">(SALK_010530C), </w:t>
      </w:r>
      <w:r w:rsidRPr="00B33C20">
        <w:rPr>
          <w:rFonts w:ascii="Palatino Linotype" w:hAnsi="Palatino Linotype" w:cs="Arial"/>
          <w:i/>
          <w:sz w:val="18"/>
          <w:szCs w:val="18"/>
          <w:lang w:val="en-US"/>
        </w:rPr>
        <w:t>net4a-4</w:t>
      </w:r>
      <w:r w:rsidRPr="00B33C20">
        <w:rPr>
          <w:rFonts w:ascii="Palatino Linotype" w:hAnsi="Palatino Linotype" w:cs="Arial"/>
          <w:sz w:val="18"/>
          <w:szCs w:val="18"/>
          <w:lang w:val="en-US"/>
        </w:rPr>
        <w:t xml:space="preserve"> (SALK_083604C) </w:t>
      </w:r>
      <w:r w:rsidRPr="00B33C20">
        <w:rPr>
          <w:rFonts w:ascii="Palatino Linotype" w:hAnsi="Palatino Linotype" w:cs="Arial"/>
          <w:b/>
          <w:sz w:val="18"/>
          <w:szCs w:val="18"/>
          <w:lang w:val="en-US"/>
        </w:rPr>
        <w:t>(a)</w:t>
      </w:r>
      <w:r w:rsidRPr="00B33C20">
        <w:rPr>
          <w:rFonts w:ascii="Palatino Linotype" w:hAnsi="Palatino Linotype" w:cs="Arial"/>
          <w:sz w:val="18"/>
          <w:szCs w:val="18"/>
          <w:lang w:val="en-US"/>
        </w:rPr>
        <w:t xml:space="preserve"> and </w:t>
      </w:r>
      <w:r w:rsidRPr="00B33C20">
        <w:rPr>
          <w:rFonts w:ascii="Palatino Linotype" w:hAnsi="Palatino Linotype" w:cs="Arial"/>
          <w:i/>
          <w:sz w:val="18"/>
          <w:szCs w:val="18"/>
          <w:lang w:val="en-US"/>
        </w:rPr>
        <w:t>net4b</w:t>
      </w:r>
      <w:r w:rsidRPr="00B33C20">
        <w:rPr>
          <w:rFonts w:ascii="Palatino Linotype" w:hAnsi="Palatino Linotype" w:cs="Arial"/>
          <w:sz w:val="18"/>
          <w:szCs w:val="18"/>
          <w:lang w:val="en-US"/>
        </w:rPr>
        <w:t xml:space="preserve"> (SALK_056957) </w:t>
      </w:r>
      <w:r w:rsidRPr="00B33C20">
        <w:rPr>
          <w:rFonts w:ascii="Palatino Linotype" w:hAnsi="Palatino Linotype" w:cs="Arial"/>
          <w:b/>
          <w:sz w:val="18"/>
          <w:szCs w:val="18"/>
          <w:lang w:val="en-US"/>
        </w:rPr>
        <w:t>(c)</w:t>
      </w:r>
      <w:r w:rsidRPr="00B33C20">
        <w:rPr>
          <w:rFonts w:ascii="Palatino Linotype" w:hAnsi="Palatino Linotype" w:cs="Arial"/>
          <w:sz w:val="18"/>
          <w:szCs w:val="18"/>
          <w:lang w:val="en-US"/>
        </w:rPr>
        <w:t xml:space="preserve"> together with the according qRT-PCR to test for gene expression levels</w:t>
      </w:r>
      <w:r w:rsidRPr="00B33C20">
        <w:rPr>
          <w:rFonts w:ascii="Palatino Linotype" w:hAnsi="Palatino Linotype" w:cs="Arial"/>
          <w:b/>
          <w:sz w:val="18"/>
          <w:szCs w:val="18"/>
          <w:lang w:val="en-US"/>
        </w:rPr>
        <w:t xml:space="preserve"> </w:t>
      </w:r>
      <w:r w:rsidRPr="00B33C20">
        <w:rPr>
          <w:rFonts w:ascii="Palatino Linotype" w:hAnsi="Palatino Linotype" w:cs="Arial"/>
          <w:sz w:val="18"/>
          <w:szCs w:val="18"/>
          <w:lang w:val="en-US"/>
        </w:rPr>
        <w:t xml:space="preserve">of </w:t>
      </w:r>
      <w:r w:rsidRPr="00B33C20">
        <w:rPr>
          <w:rFonts w:ascii="Palatino Linotype" w:hAnsi="Palatino Linotype" w:cs="Arial"/>
          <w:i/>
          <w:sz w:val="18"/>
          <w:szCs w:val="18"/>
          <w:lang w:val="en-US"/>
        </w:rPr>
        <w:t xml:space="preserve">net4a-1 </w:t>
      </w:r>
      <w:r w:rsidRPr="00B33C20">
        <w:rPr>
          <w:rFonts w:ascii="Palatino Linotype" w:hAnsi="Palatino Linotype" w:cs="Arial"/>
          <w:b/>
          <w:sz w:val="18"/>
          <w:szCs w:val="18"/>
          <w:lang w:val="en-US"/>
        </w:rPr>
        <w:t>(b)</w:t>
      </w:r>
      <w:r w:rsidRPr="00B33C20">
        <w:rPr>
          <w:rFonts w:ascii="Palatino Linotype" w:hAnsi="Palatino Linotype" w:cs="Arial"/>
          <w:sz w:val="18"/>
          <w:szCs w:val="18"/>
          <w:lang w:val="en-US"/>
        </w:rPr>
        <w:t xml:space="preserve"> and </w:t>
      </w:r>
      <w:r w:rsidRPr="00B33C20">
        <w:rPr>
          <w:rFonts w:ascii="Palatino Linotype" w:hAnsi="Palatino Linotype" w:cs="Arial"/>
          <w:i/>
          <w:sz w:val="18"/>
          <w:szCs w:val="18"/>
          <w:lang w:val="en-US"/>
        </w:rPr>
        <w:t>net4b</w:t>
      </w:r>
      <w:r w:rsidRPr="00B33C20">
        <w:rPr>
          <w:rFonts w:ascii="Palatino Linotype" w:hAnsi="Palatino Linotype" w:cs="Arial"/>
          <w:sz w:val="18"/>
          <w:szCs w:val="18"/>
          <w:lang w:val="en-US"/>
        </w:rPr>
        <w:t xml:space="preserve"> </w:t>
      </w:r>
      <w:r w:rsidRPr="00B33C20">
        <w:rPr>
          <w:rFonts w:ascii="Palatino Linotype" w:hAnsi="Palatino Linotype" w:cs="Arial"/>
          <w:b/>
          <w:sz w:val="18"/>
          <w:szCs w:val="18"/>
          <w:lang w:val="en-US"/>
        </w:rPr>
        <w:t>(d)</w:t>
      </w:r>
      <w:r w:rsidRPr="00B33C20">
        <w:rPr>
          <w:rFonts w:ascii="Palatino Linotype" w:hAnsi="Palatino Linotype" w:cs="Arial"/>
          <w:sz w:val="18"/>
          <w:szCs w:val="18"/>
          <w:lang w:val="en-US"/>
        </w:rPr>
        <w:t xml:space="preserve">. Red arrowheads show verified, orange arrowheads predicted sites of insertion. Arrows indicate position of primers. Primers used are listed in supplemental table S1. </w:t>
      </w:r>
      <w:r w:rsidRPr="00B33C20">
        <w:rPr>
          <w:rFonts w:ascii="Palatino Linotype" w:hAnsi="Palatino Linotype" w:cs="Arial"/>
          <w:b/>
          <w:sz w:val="18"/>
          <w:szCs w:val="18"/>
          <w:lang w:val="en-US"/>
        </w:rPr>
        <w:t>(e</w:t>
      </w:r>
      <w:r w:rsidRPr="00B33C20">
        <w:rPr>
          <w:rFonts w:ascii="Palatino Linotype" w:hAnsi="Palatino Linotype" w:cs="Arial"/>
          <w:sz w:val="18"/>
          <w:szCs w:val="18"/>
          <w:lang w:val="en-US"/>
        </w:rPr>
        <w:t>-</w:t>
      </w:r>
      <w:r w:rsidRPr="00B33C20">
        <w:rPr>
          <w:rFonts w:ascii="Palatino Linotype" w:hAnsi="Palatino Linotype" w:cs="Arial"/>
          <w:b/>
          <w:sz w:val="18"/>
          <w:szCs w:val="18"/>
          <w:lang w:val="en-US"/>
        </w:rPr>
        <w:t>h)</w:t>
      </w:r>
      <w:r w:rsidRPr="00B33C20">
        <w:rPr>
          <w:rFonts w:ascii="Palatino Linotype" w:hAnsi="Palatino Linotype" w:cs="Arial"/>
          <w:sz w:val="18"/>
          <w:szCs w:val="18"/>
          <w:lang w:val="en-US"/>
        </w:rPr>
        <w:t xml:space="preserve"> Vacuolar morphology of Col-0 control (</w:t>
      </w:r>
      <w:r w:rsidRPr="00B33C20">
        <w:rPr>
          <w:rFonts w:ascii="Palatino Linotype" w:hAnsi="Palatino Linotype" w:cs="Arial"/>
          <w:i/>
          <w:sz w:val="18"/>
          <w:szCs w:val="18"/>
          <w:lang w:val="en-US"/>
        </w:rPr>
        <w:t>n</w:t>
      </w:r>
      <w:r w:rsidR="00B33C20">
        <w:rPr>
          <w:rFonts w:ascii="Palatino Linotype" w:hAnsi="Palatino Linotype" w:cs="Arial"/>
          <w:sz w:val="18"/>
          <w:szCs w:val="18"/>
          <w:lang w:val="en-US"/>
        </w:rPr>
        <w:t xml:space="preserve"> </w:t>
      </w:r>
      <w:r w:rsidRPr="00B33C20">
        <w:rPr>
          <w:rFonts w:ascii="Palatino Linotype" w:hAnsi="Palatino Linotype" w:cs="Arial"/>
          <w:sz w:val="18"/>
          <w:szCs w:val="18"/>
          <w:lang w:val="en-US"/>
        </w:rPr>
        <w:t>=</w:t>
      </w:r>
      <w:r w:rsidR="00B33C20">
        <w:rPr>
          <w:rFonts w:ascii="Palatino Linotype" w:hAnsi="Palatino Linotype" w:cs="Arial"/>
          <w:sz w:val="18"/>
          <w:szCs w:val="18"/>
          <w:lang w:val="en-US"/>
        </w:rPr>
        <w:t xml:space="preserve"> </w:t>
      </w:r>
      <w:r w:rsidRPr="00B33C20">
        <w:rPr>
          <w:rFonts w:ascii="Palatino Linotype" w:hAnsi="Palatino Linotype" w:cs="Arial"/>
          <w:sz w:val="18"/>
          <w:szCs w:val="18"/>
          <w:lang w:val="en-US"/>
        </w:rPr>
        <w:t xml:space="preserve">126), the </w:t>
      </w:r>
      <w:r w:rsidRPr="00B33C20">
        <w:rPr>
          <w:rFonts w:ascii="Palatino Linotype" w:hAnsi="Palatino Linotype" w:cs="Arial"/>
          <w:i/>
          <w:sz w:val="18"/>
          <w:szCs w:val="18"/>
          <w:lang w:val="en-US"/>
        </w:rPr>
        <w:t>net4a-1</w:t>
      </w:r>
      <w:r w:rsidRPr="00B33C20">
        <w:rPr>
          <w:rFonts w:ascii="Palatino Linotype" w:hAnsi="Palatino Linotype" w:cs="Arial"/>
          <w:sz w:val="18"/>
          <w:szCs w:val="18"/>
          <w:lang w:val="en-US"/>
        </w:rPr>
        <w:t xml:space="preserve"> (</w:t>
      </w:r>
      <w:r w:rsidRPr="00B33C20">
        <w:rPr>
          <w:rFonts w:ascii="Palatino Linotype" w:hAnsi="Palatino Linotype" w:cs="Arial"/>
          <w:i/>
          <w:sz w:val="18"/>
          <w:szCs w:val="18"/>
          <w:lang w:val="en-US"/>
        </w:rPr>
        <w:t>n</w:t>
      </w:r>
      <w:r w:rsidR="00B33C20">
        <w:rPr>
          <w:rFonts w:ascii="Palatino Linotype" w:hAnsi="Palatino Linotype" w:cs="Arial"/>
          <w:sz w:val="18"/>
          <w:szCs w:val="18"/>
          <w:lang w:val="en-US"/>
        </w:rPr>
        <w:t xml:space="preserve"> </w:t>
      </w:r>
      <w:r w:rsidRPr="00B33C20">
        <w:rPr>
          <w:rFonts w:ascii="Palatino Linotype" w:hAnsi="Palatino Linotype" w:cs="Arial"/>
          <w:sz w:val="18"/>
          <w:szCs w:val="18"/>
          <w:lang w:val="en-US"/>
        </w:rPr>
        <w:t>=</w:t>
      </w:r>
      <w:r w:rsidR="00B33C20">
        <w:rPr>
          <w:rFonts w:ascii="Palatino Linotype" w:hAnsi="Palatino Linotype" w:cs="Arial"/>
          <w:sz w:val="18"/>
          <w:szCs w:val="18"/>
          <w:lang w:val="en-US"/>
        </w:rPr>
        <w:t xml:space="preserve"> </w:t>
      </w:r>
      <w:r w:rsidRPr="00B33C20">
        <w:rPr>
          <w:rFonts w:ascii="Palatino Linotype" w:hAnsi="Palatino Linotype" w:cs="Arial"/>
          <w:sz w:val="18"/>
          <w:szCs w:val="18"/>
          <w:lang w:val="en-US"/>
        </w:rPr>
        <w:t xml:space="preserve">54) and the </w:t>
      </w:r>
      <w:r w:rsidRPr="00B33C20">
        <w:rPr>
          <w:rFonts w:ascii="Palatino Linotype" w:hAnsi="Palatino Linotype" w:cs="Arial"/>
          <w:i/>
          <w:sz w:val="18"/>
          <w:szCs w:val="18"/>
          <w:lang w:val="en-US"/>
        </w:rPr>
        <w:t>net4b</w:t>
      </w:r>
      <w:r w:rsidRPr="00B33C20">
        <w:rPr>
          <w:rFonts w:ascii="Palatino Linotype" w:hAnsi="Palatino Linotype" w:cs="Arial"/>
          <w:sz w:val="18"/>
          <w:szCs w:val="18"/>
          <w:lang w:val="en-US"/>
        </w:rPr>
        <w:t xml:space="preserve"> single mutant (</w:t>
      </w:r>
      <w:r w:rsidRPr="00B33C20">
        <w:rPr>
          <w:rFonts w:ascii="Palatino Linotype" w:hAnsi="Palatino Linotype" w:cs="Arial"/>
          <w:i/>
          <w:sz w:val="18"/>
          <w:szCs w:val="18"/>
          <w:lang w:val="en-US"/>
        </w:rPr>
        <w:t>n</w:t>
      </w:r>
      <w:r w:rsidR="00B33C20">
        <w:rPr>
          <w:rFonts w:ascii="Palatino Linotype" w:hAnsi="Palatino Linotype" w:cs="Arial"/>
          <w:sz w:val="18"/>
          <w:szCs w:val="18"/>
          <w:lang w:val="en-US"/>
        </w:rPr>
        <w:t xml:space="preserve"> </w:t>
      </w:r>
      <w:r w:rsidRPr="00B33C20">
        <w:rPr>
          <w:rFonts w:ascii="Palatino Linotype" w:hAnsi="Palatino Linotype" w:cs="Arial"/>
          <w:sz w:val="18"/>
          <w:szCs w:val="18"/>
          <w:lang w:val="en-US"/>
        </w:rPr>
        <w:t>=</w:t>
      </w:r>
      <w:r w:rsidR="00B33C20">
        <w:rPr>
          <w:rFonts w:ascii="Palatino Linotype" w:hAnsi="Palatino Linotype" w:cs="Arial"/>
          <w:sz w:val="18"/>
          <w:szCs w:val="18"/>
          <w:lang w:val="en-US"/>
        </w:rPr>
        <w:t xml:space="preserve"> </w:t>
      </w:r>
      <w:r w:rsidRPr="00B33C20">
        <w:rPr>
          <w:rFonts w:ascii="Palatino Linotype" w:hAnsi="Palatino Linotype" w:cs="Arial"/>
          <w:sz w:val="18"/>
          <w:szCs w:val="18"/>
          <w:lang w:val="en-US"/>
        </w:rPr>
        <w:t xml:space="preserve">99). </w:t>
      </w:r>
      <w:r w:rsidRPr="00B33C20">
        <w:rPr>
          <w:rFonts w:ascii="Palatino Linotype" w:hAnsi="Palatino Linotype" w:cs="Arial"/>
          <w:sz w:val="18"/>
          <w:szCs w:val="18"/>
          <w:lang w:val="en-GB"/>
        </w:rPr>
        <w:t xml:space="preserve">MDY-64 (cyan) was used to stain vacuoles, propidium iodide (red) to stain cell walls. </w:t>
      </w:r>
      <w:r w:rsidRPr="00B33C20">
        <w:rPr>
          <w:rFonts w:ascii="Palatino Linotype" w:hAnsi="Palatino Linotype" w:cs="Arial"/>
          <w:b/>
          <w:sz w:val="18"/>
          <w:szCs w:val="18"/>
          <w:lang w:val="en-GB"/>
        </w:rPr>
        <w:t>(i)</w:t>
      </w:r>
      <w:r w:rsidRPr="00B33C20">
        <w:rPr>
          <w:rFonts w:ascii="Palatino Linotype" w:hAnsi="Palatino Linotype" w:cs="Arial"/>
          <w:sz w:val="18"/>
          <w:szCs w:val="18"/>
          <w:lang w:val="en-GB"/>
        </w:rPr>
        <w:t xml:space="preserve"> qRT-PCR to test for gene expression levels of </w:t>
      </w:r>
      <w:r w:rsidRPr="00B33C20">
        <w:rPr>
          <w:rFonts w:ascii="Palatino Linotype" w:hAnsi="Palatino Linotype" w:cs="Arial"/>
          <w:i/>
          <w:sz w:val="18"/>
          <w:szCs w:val="18"/>
          <w:lang w:val="en-GB"/>
        </w:rPr>
        <w:t>net4a-3</w:t>
      </w:r>
      <w:r w:rsidRPr="00B33C20">
        <w:rPr>
          <w:rFonts w:ascii="Palatino Linotype" w:hAnsi="Palatino Linotype" w:cs="Arial"/>
          <w:sz w:val="18"/>
          <w:szCs w:val="18"/>
          <w:lang w:val="en-GB"/>
        </w:rPr>
        <w:t xml:space="preserve"> and </w:t>
      </w:r>
      <w:r w:rsidRPr="00B33C20">
        <w:rPr>
          <w:rFonts w:ascii="Palatino Linotype" w:hAnsi="Palatino Linotype" w:cs="Arial"/>
          <w:i/>
          <w:sz w:val="18"/>
          <w:szCs w:val="18"/>
          <w:lang w:val="en-GB"/>
        </w:rPr>
        <w:t>net4a-4</w:t>
      </w:r>
      <w:r w:rsidRPr="00B33C20">
        <w:rPr>
          <w:rFonts w:ascii="Palatino Linotype" w:hAnsi="Palatino Linotype" w:cs="Arial"/>
          <w:sz w:val="18"/>
          <w:szCs w:val="18"/>
          <w:lang w:val="en-GB"/>
        </w:rPr>
        <w:t xml:space="preserve">. </w:t>
      </w:r>
      <w:r w:rsidRPr="00B33C20">
        <w:rPr>
          <w:rFonts w:ascii="Palatino Linotype" w:hAnsi="Palatino Linotype" w:cs="Arial"/>
          <w:b/>
          <w:sz w:val="18"/>
          <w:szCs w:val="18"/>
          <w:lang w:val="en-GB"/>
        </w:rPr>
        <w:t>(j)</w:t>
      </w:r>
      <w:r w:rsidRPr="00B33C20">
        <w:rPr>
          <w:rFonts w:ascii="Palatino Linotype" w:hAnsi="Palatino Linotype" w:cs="Arial"/>
          <w:sz w:val="18"/>
          <w:szCs w:val="18"/>
          <w:lang w:val="en-GB"/>
        </w:rPr>
        <w:t xml:space="preserve"> Quantification of vacuolar morphology for Col-0 control (</w:t>
      </w:r>
      <w:r w:rsidRPr="00B33C20">
        <w:rPr>
          <w:rFonts w:ascii="Palatino Linotype" w:hAnsi="Palatino Linotype" w:cs="Arial"/>
          <w:i/>
          <w:sz w:val="18"/>
          <w:szCs w:val="18"/>
          <w:lang w:val="en-GB"/>
        </w:rPr>
        <w:t>n</w:t>
      </w:r>
      <w:r w:rsidR="00B33C20">
        <w:rPr>
          <w:rFonts w:ascii="Palatino Linotype" w:hAnsi="Palatino Linotype" w:cs="Arial"/>
          <w:i/>
          <w:sz w:val="18"/>
          <w:szCs w:val="18"/>
          <w:lang w:val="en-GB"/>
        </w:rPr>
        <w:t xml:space="preserve"> </w:t>
      </w:r>
      <w:r w:rsidRPr="00B33C20">
        <w:rPr>
          <w:rFonts w:ascii="Palatino Linotype" w:hAnsi="Palatino Linotype" w:cs="Arial"/>
          <w:sz w:val="18"/>
          <w:szCs w:val="18"/>
          <w:lang w:val="en-GB"/>
        </w:rPr>
        <w:t>=</w:t>
      </w:r>
      <w:r w:rsidR="00B33C20">
        <w:rPr>
          <w:rFonts w:ascii="Palatino Linotype" w:hAnsi="Palatino Linotype" w:cs="Arial"/>
          <w:sz w:val="18"/>
          <w:szCs w:val="18"/>
          <w:lang w:val="en-GB"/>
        </w:rPr>
        <w:t xml:space="preserve"> </w:t>
      </w:r>
      <w:r w:rsidRPr="00B33C20">
        <w:rPr>
          <w:rFonts w:ascii="Palatino Linotype" w:hAnsi="Palatino Linotype" w:cs="Arial"/>
          <w:sz w:val="18"/>
          <w:szCs w:val="18"/>
          <w:lang w:val="en-GB"/>
        </w:rPr>
        <w:t xml:space="preserve">64), the </w:t>
      </w:r>
      <w:r w:rsidRPr="00B33C20">
        <w:rPr>
          <w:rFonts w:ascii="Palatino Linotype" w:hAnsi="Palatino Linotype" w:cs="Arial"/>
          <w:i/>
          <w:sz w:val="18"/>
          <w:szCs w:val="18"/>
          <w:lang w:val="en-GB"/>
        </w:rPr>
        <w:t>net4a-3</w:t>
      </w:r>
      <w:r w:rsidRPr="00B33C20">
        <w:rPr>
          <w:rFonts w:ascii="Palatino Linotype" w:hAnsi="Palatino Linotype" w:cs="Arial"/>
          <w:sz w:val="18"/>
          <w:szCs w:val="18"/>
          <w:lang w:val="en-GB"/>
        </w:rPr>
        <w:t xml:space="preserve"> (</w:t>
      </w:r>
      <w:r w:rsidRPr="00B33C20">
        <w:rPr>
          <w:rFonts w:ascii="Palatino Linotype" w:hAnsi="Palatino Linotype" w:cs="Arial"/>
          <w:i/>
          <w:sz w:val="18"/>
          <w:szCs w:val="18"/>
          <w:lang w:val="en-GB"/>
        </w:rPr>
        <w:t>n</w:t>
      </w:r>
      <w:r w:rsidR="00B33C20">
        <w:rPr>
          <w:rFonts w:ascii="Palatino Linotype" w:hAnsi="Palatino Linotype" w:cs="Arial"/>
          <w:sz w:val="18"/>
          <w:szCs w:val="18"/>
          <w:lang w:val="en-GB"/>
        </w:rPr>
        <w:t xml:space="preserve"> </w:t>
      </w:r>
      <w:r w:rsidRPr="00B33C20">
        <w:rPr>
          <w:rFonts w:ascii="Palatino Linotype" w:hAnsi="Palatino Linotype" w:cs="Arial"/>
          <w:sz w:val="18"/>
          <w:szCs w:val="18"/>
          <w:lang w:val="en-GB"/>
        </w:rPr>
        <w:t>=</w:t>
      </w:r>
      <w:r w:rsidR="00B33C20">
        <w:rPr>
          <w:rFonts w:ascii="Palatino Linotype" w:hAnsi="Palatino Linotype" w:cs="Arial"/>
          <w:sz w:val="18"/>
          <w:szCs w:val="18"/>
          <w:lang w:val="en-GB"/>
        </w:rPr>
        <w:t xml:space="preserve"> </w:t>
      </w:r>
      <w:r w:rsidRPr="00B33C20">
        <w:rPr>
          <w:rFonts w:ascii="Palatino Linotype" w:hAnsi="Palatino Linotype" w:cs="Arial"/>
          <w:sz w:val="18"/>
          <w:szCs w:val="18"/>
          <w:lang w:val="en-GB"/>
        </w:rPr>
        <w:t xml:space="preserve">63) and the </w:t>
      </w:r>
      <w:r w:rsidRPr="00B33C20">
        <w:rPr>
          <w:rFonts w:ascii="Palatino Linotype" w:hAnsi="Palatino Linotype" w:cs="Arial"/>
          <w:i/>
          <w:sz w:val="18"/>
          <w:szCs w:val="18"/>
          <w:lang w:val="en-GB"/>
        </w:rPr>
        <w:t>net4a-4</w:t>
      </w:r>
      <w:r w:rsidRPr="00B33C20">
        <w:rPr>
          <w:rFonts w:ascii="Palatino Linotype" w:hAnsi="Palatino Linotype" w:cs="Arial"/>
          <w:sz w:val="18"/>
          <w:szCs w:val="18"/>
          <w:lang w:val="en-GB"/>
        </w:rPr>
        <w:t xml:space="preserve"> single mutant (</w:t>
      </w:r>
      <w:r w:rsidRPr="00B33C20">
        <w:rPr>
          <w:rFonts w:ascii="Palatino Linotype" w:hAnsi="Palatino Linotype" w:cs="Arial"/>
          <w:i/>
          <w:sz w:val="18"/>
          <w:szCs w:val="18"/>
          <w:lang w:val="en-GB"/>
        </w:rPr>
        <w:t>n</w:t>
      </w:r>
      <w:r w:rsidR="00B33C20">
        <w:rPr>
          <w:rFonts w:ascii="Palatino Linotype" w:hAnsi="Palatino Linotype" w:cs="Arial"/>
          <w:sz w:val="18"/>
          <w:szCs w:val="18"/>
          <w:lang w:val="en-GB"/>
        </w:rPr>
        <w:t xml:space="preserve"> </w:t>
      </w:r>
      <w:r w:rsidRPr="00B33C20">
        <w:rPr>
          <w:rFonts w:ascii="Palatino Linotype" w:hAnsi="Palatino Linotype" w:cs="Arial"/>
          <w:sz w:val="18"/>
          <w:szCs w:val="18"/>
          <w:lang w:val="en-GB"/>
        </w:rPr>
        <w:t>=</w:t>
      </w:r>
      <w:r w:rsidR="00B33C20">
        <w:rPr>
          <w:rFonts w:ascii="Palatino Linotype" w:hAnsi="Palatino Linotype" w:cs="Arial"/>
          <w:sz w:val="18"/>
          <w:szCs w:val="18"/>
          <w:lang w:val="en-GB"/>
        </w:rPr>
        <w:t xml:space="preserve"> </w:t>
      </w:r>
      <w:r w:rsidRPr="00B33C20">
        <w:rPr>
          <w:rFonts w:ascii="Palatino Linotype" w:hAnsi="Palatino Linotype" w:cs="Arial"/>
          <w:sz w:val="18"/>
          <w:szCs w:val="18"/>
          <w:lang w:val="en-GB"/>
        </w:rPr>
        <w:t xml:space="preserve">67). Columns of bar charts represent mean values, error bars represent s.e.m. Box limits of boxblots represent 25th percentile and 75th percentile, horizontal line represents median. Whiskers display </w:t>
      </w:r>
      <w:r w:rsidR="00B33C20" w:rsidRPr="00B33C20">
        <w:rPr>
          <w:rFonts w:ascii="Palatino Linotype" w:hAnsi="Palatino Linotype" w:cs="Arial"/>
          <w:sz w:val="18"/>
          <w:szCs w:val="18"/>
          <w:lang w:val="en-GB"/>
        </w:rPr>
        <w:t>minimum to maximum</w:t>
      </w:r>
      <w:r w:rsidRPr="00B33C20">
        <w:rPr>
          <w:rFonts w:ascii="Palatino Linotype" w:hAnsi="Palatino Linotype" w:cs="Arial"/>
          <w:sz w:val="18"/>
          <w:szCs w:val="18"/>
          <w:lang w:val="en-GB"/>
        </w:rPr>
        <w:t xml:space="preserve"> values. Student’s t-test, </w:t>
      </w:r>
      <w:r w:rsidRPr="00B33C20">
        <w:rPr>
          <w:rFonts w:ascii="Palatino Linotype" w:hAnsi="Palatino Linotype" w:cs="Arial"/>
          <w:i/>
          <w:sz w:val="18"/>
          <w:szCs w:val="18"/>
          <w:lang w:val="en-GB"/>
        </w:rPr>
        <w:t>p</w:t>
      </w:r>
      <w:r w:rsidRPr="00B33C20">
        <w:rPr>
          <w:rFonts w:ascii="Palatino Linotype" w:hAnsi="Palatino Linotype" w:cs="Arial"/>
          <w:sz w:val="18"/>
          <w:szCs w:val="18"/>
          <w:lang w:val="en-GB"/>
        </w:rPr>
        <w:t>-values: *</w:t>
      </w:r>
      <w:r w:rsidR="00B33C20">
        <w:rPr>
          <w:rFonts w:ascii="Palatino Linotype" w:hAnsi="Palatino Linotype" w:cs="Arial"/>
          <w:sz w:val="18"/>
          <w:szCs w:val="18"/>
          <w:lang w:val="en-GB"/>
        </w:rPr>
        <w:t xml:space="preserve"> </w:t>
      </w:r>
      <w:r w:rsidRPr="00B33C20">
        <w:rPr>
          <w:rFonts w:ascii="Palatino Linotype" w:hAnsi="Palatino Linotype" w:cs="Arial"/>
          <w:i/>
          <w:sz w:val="18"/>
          <w:szCs w:val="18"/>
          <w:lang w:val="en-GB"/>
        </w:rPr>
        <w:t>p</w:t>
      </w:r>
      <w:r w:rsidRPr="00B33C20">
        <w:rPr>
          <w:rFonts w:ascii="Palatino Linotype" w:hAnsi="Palatino Linotype" w:cs="Arial"/>
          <w:sz w:val="18"/>
          <w:szCs w:val="18"/>
          <w:lang w:val="en-GB"/>
        </w:rPr>
        <w:t xml:space="preserve"> &lt; 0.05; **</w:t>
      </w:r>
      <w:r w:rsidR="00B33C20">
        <w:rPr>
          <w:rFonts w:ascii="Palatino Linotype" w:hAnsi="Palatino Linotype" w:cs="Arial"/>
          <w:sz w:val="18"/>
          <w:szCs w:val="18"/>
          <w:lang w:val="en-GB"/>
        </w:rPr>
        <w:t xml:space="preserve"> </w:t>
      </w:r>
      <w:r w:rsidRPr="00B33C20">
        <w:rPr>
          <w:rFonts w:ascii="Palatino Linotype" w:hAnsi="Palatino Linotype" w:cs="Arial"/>
          <w:i/>
          <w:sz w:val="18"/>
          <w:szCs w:val="18"/>
          <w:lang w:val="en-GB"/>
        </w:rPr>
        <w:t>p</w:t>
      </w:r>
      <w:r w:rsidRPr="00B33C20">
        <w:rPr>
          <w:rFonts w:ascii="Palatino Linotype" w:hAnsi="Palatino Linotype" w:cs="Arial"/>
          <w:sz w:val="18"/>
          <w:szCs w:val="18"/>
          <w:lang w:val="en-GB"/>
        </w:rPr>
        <w:t xml:space="preserve"> &lt; 0.01; ***</w:t>
      </w:r>
      <w:r w:rsidR="00B33C20">
        <w:rPr>
          <w:rFonts w:ascii="Palatino Linotype" w:hAnsi="Palatino Linotype" w:cs="Arial"/>
          <w:sz w:val="18"/>
          <w:szCs w:val="18"/>
          <w:lang w:val="en-GB"/>
        </w:rPr>
        <w:t xml:space="preserve"> </w:t>
      </w:r>
      <w:r w:rsidRPr="00B33C20">
        <w:rPr>
          <w:rFonts w:ascii="Palatino Linotype" w:hAnsi="Palatino Linotype" w:cs="Arial"/>
          <w:i/>
          <w:sz w:val="18"/>
          <w:szCs w:val="18"/>
          <w:lang w:val="en-GB"/>
        </w:rPr>
        <w:t>p</w:t>
      </w:r>
      <w:r w:rsidRPr="00B33C20">
        <w:rPr>
          <w:rFonts w:ascii="Palatino Linotype" w:hAnsi="Palatino Linotype" w:cs="Arial"/>
          <w:sz w:val="18"/>
          <w:szCs w:val="18"/>
          <w:lang w:val="en-GB"/>
        </w:rPr>
        <w:t xml:space="preserve"> &lt; 0.001. Scale bars: 5 µm.</w:t>
      </w:r>
      <w:r w:rsidRPr="00B33C20">
        <w:rPr>
          <w:rFonts w:ascii="Palatino Linotype" w:hAnsi="Palatino Linotype"/>
          <w:sz w:val="18"/>
          <w:szCs w:val="18"/>
          <w:lang w:val="en-US"/>
        </w:rPr>
        <w:t xml:space="preserve"> </w:t>
      </w:r>
    </w:p>
    <w:p w14:paraId="25F76D0E" w14:textId="77777777" w:rsidR="004B0ED3" w:rsidRDefault="004B0ED3" w:rsidP="004B0ED3">
      <w:pPr>
        <w:autoSpaceDE w:val="0"/>
        <w:autoSpaceDN w:val="0"/>
        <w:adjustRightInd w:val="0"/>
        <w:spacing w:after="0" w:line="240" w:lineRule="auto"/>
        <w:rPr>
          <w:rFonts w:ascii="Palatino Linotype" w:eastAsia="CIDFont+F3" w:hAnsi="Palatino Linotype" w:cs="CIDFont+F3"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0282BCC6" wp14:editId="6C90A868">
            <wp:extent cx="5617845" cy="7313295"/>
            <wp:effectExtent l="0" t="0" r="1905" b="190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7845" cy="7313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F8645" w14:textId="77777777" w:rsidR="005F336B" w:rsidRPr="00B33C20" w:rsidRDefault="004B0ED3" w:rsidP="00B33C20">
      <w:pPr>
        <w:autoSpaceDE w:val="0"/>
        <w:autoSpaceDN w:val="0"/>
        <w:adjustRightInd w:val="0"/>
        <w:spacing w:after="0" w:line="240" w:lineRule="auto"/>
        <w:rPr>
          <w:rFonts w:ascii="Palatino Linotype" w:eastAsia="CIDFont+F3" w:hAnsi="Palatino Linotype" w:cs="CIDFont+F3"/>
          <w:sz w:val="18"/>
          <w:szCs w:val="18"/>
        </w:rPr>
      </w:pPr>
      <w:r w:rsidRPr="005F336B">
        <w:rPr>
          <w:rFonts w:ascii="Palatino Linotype" w:eastAsia="CIDFont+F2" w:hAnsi="Palatino Linotype" w:cs="CIDFont+F2"/>
          <w:b/>
          <w:sz w:val="18"/>
          <w:szCs w:val="18"/>
        </w:rPr>
        <w:t>Figure S3</w:t>
      </w:r>
      <w:r w:rsidRPr="004B0ED3">
        <w:rPr>
          <w:rFonts w:ascii="Palatino Linotype" w:eastAsia="CIDFont+F2" w:hAnsi="Palatino Linotype" w:cs="CIDFont+F2"/>
          <w:sz w:val="18"/>
          <w:szCs w:val="18"/>
        </w:rPr>
        <w:t xml:space="preserve">. </w:t>
      </w:r>
      <w:r w:rsidRPr="004B0ED3">
        <w:rPr>
          <w:rFonts w:ascii="Palatino Linotype" w:eastAsia="CIDFont+F3" w:hAnsi="Palatino Linotype" w:cs="CIDFont+F3"/>
          <w:sz w:val="18"/>
          <w:szCs w:val="18"/>
        </w:rPr>
        <w:t xml:space="preserve">Localization of NET4A driven by the CMV 35S promotor (NET4A-GFPOE). </w:t>
      </w:r>
      <w:r>
        <w:rPr>
          <w:rFonts w:ascii="Palatino Linotype" w:eastAsia="CIDFont+F2" w:hAnsi="Palatino Linotype" w:cs="CIDFont+F2"/>
          <w:sz w:val="18"/>
          <w:szCs w:val="18"/>
        </w:rPr>
        <w:t>(</w:t>
      </w:r>
      <w:r w:rsidRPr="00B33C20">
        <w:rPr>
          <w:rFonts w:ascii="Palatino Linotype" w:eastAsia="CIDFont+F2" w:hAnsi="Palatino Linotype" w:cs="CIDFont+F2"/>
          <w:b/>
          <w:sz w:val="18"/>
          <w:szCs w:val="18"/>
        </w:rPr>
        <w:t>a</w:t>
      </w:r>
      <w:r>
        <w:rPr>
          <w:rFonts w:ascii="Palatino Linotype" w:eastAsia="CIDFont+F2" w:hAnsi="Palatino Linotype" w:cs="CIDFont+F2"/>
          <w:sz w:val="18"/>
          <w:szCs w:val="18"/>
        </w:rPr>
        <w:t xml:space="preserve">) </w:t>
      </w:r>
      <w:r w:rsidRPr="004B0ED3">
        <w:rPr>
          <w:rFonts w:ascii="Palatino Linotype" w:eastAsia="CIDFont+F3" w:hAnsi="Palatino Linotype" w:cs="CIDFont+F3"/>
          <w:sz w:val="18"/>
          <w:szCs w:val="18"/>
        </w:rPr>
        <w:t xml:space="preserve">Uniform signal distribution within the Arabidopsis root meristem. </w:t>
      </w:r>
      <w:r w:rsidRPr="004B0ED3">
        <w:rPr>
          <w:rFonts w:ascii="Palatino Linotype" w:eastAsia="CIDFont+F2" w:hAnsi="Palatino Linotype" w:cs="CIDFont+F2"/>
          <w:sz w:val="18"/>
          <w:szCs w:val="18"/>
        </w:rPr>
        <w:t>(</w:t>
      </w:r>
      <w:r w:rsidRPr="00B33C20">
        <w:rPr>
          <w:rFonts w:ascii="Palatino Linotype" w:eastAsia="CIDFont+F2" w:hAnsi="Palatino Linotype" w:cs="CIDFont+F2"/>
          <w:b/>
          <w:sz w:val="18"/>
          <w:szCs w:val="18"/>
        </w:rPr>
        <w:t>b</w:t>
      </w:r>
      <w:r w:rsidRPr="004B0ED3">
        <w:rPr>
          <w:rFonts w:ascii="Palatino Linotype" w:eastAsia="CIDFont+F2" w:hAnsi="Palatino Linotype" w:cs="CIDFont+F2"/>
          <w:sz w:val="18"/>
          <w:szCs w:val="18"/>
        </w:rPr>
        <w:t xml:space="preserve">) </w:t>
      </w:r>
      <w:r w:rsidRPr="004B0ED3">
        <w:rPr>
          <w:rFonts w:ascii="Palatino Linotype" w:eastAsia="CIDFont+F3" w:hAnsi="Palatino Linotype" w:cs="CIDFont+F3"/>
          <w:sz w:val="18"/>
          <w:szCs w:val="18"/>
        </w:rPr>
        <w:t>Vacuolar signal in atrichoblast</w:t>
      </w:r>
      <w:r>
        <w:rPr>
          <w:rFonts w:ascii="Palatino Linotype" w:eastAsia="CIDFont+F2" w:hAnsi="Palatino Linotype" w:cs="CIDFont+F2"/>
          <w:sz w:val="18"/>
          <w:szCs w:val="18"/>
        </w:rPr>
        <w:t xml:space="preserve"> </w:t>
      </w:r>
      <w:r w:rsidRPr="004B0ED3">
        <w:rPr>
          <w:rFonts w:ascii="Palatino Linotype" w:eastAsia="CIDFont+F3" w:hAnsi="Palatino Linotype" w:cs="CIDFont+F3"/>
          <w:sz w:val="18"/>
          <w:szCs w:val="18"/>
        </w:rPr>
        <w:t xml:space="preserve">cells and </w:t>
      </w:r>
      <w:r w:rsidRPr="004B0ED3">
        <w:rPr>
          <w:rFonts w:ascii="Palatino Linotype" w:eastAsia="CIDFont+F2" w:hAnsi="Palatino Linotype" w:cs="CIDFont+F2"/>
          <w:sz w:val="18"/>
          <w:szCs w:val="18"/>
        </w:rPr>
        <w:t>(</w:t>
      </w:r>
      <w:r w:rsidRPr="00B33C20">
        <w:rPr>
          <w:rFonts w:ascii="Palatino Linotype" w:eastAsia="CIDFont+F2" w:hAnsi="Palatino Linotype" w:cs="CIDFont+F2"/>
          <w:b/>
          <w:sz w:val="18"/>
          <w:szCs w:val="18"/>
        </w:rPr>
        <w:t>c</w:t>
      </w:r>
      <w:r w:rsidRPr="004B0ED3">
        <w:rPr>
          <w:rFonts w:ascii="Palatino Linotype" w:eastAsia="CIDFont+F2" w:hAnsi="Palatino Linotype" w:cs="CIDFont+F2"/>
          <w:sz w:val="18"/>
          <w:szCs w:val="18"/>
        </w:rPr>
        <w:t xml:space="preserve">) </w:t>
      </w:r>
      <w:r w:rsidRPr="004B0ED3">
        <w:rPr>
          <w:rFonts w:ascii="Palatino Linotype" w:eastAsia="CIDFont+F3" w:hAnsi="Palatino Linotype" w:cs="CIDFont+F3"/>
          <w:sz w:val="18"/>
          <w:szCs w:val="18"/>
        </w:rPr>
        <w:t xml:space="preserve">filamentous signal at the cell cortex. </w:t>
      </w:r>
      <w:r w:rsidRPr="004B0ED3">
        <w:rPr>
          <w:rFonts w:ascii="Palatino Linotype" w:eastAsia="CIDFont+F2" w:hAnsi="Palatino Linotype" w:cs="CIDFont+F2"/>
          <w:sz w:val="18"/>
          <w:szCs w:val="18"/>
        </w:rPr>
        <w:t>(</w:t>
      </w:r>
      <w:r w:rsidRPr="00B33C20">
        <w:rPr>
          <w:rFonts w:ascii="Palatino Linotype" w:eastAsia="CIDFont+F2" w:hAnsi="Palatino Linotype" w:cs="CIDFont+F2"/>
          <w:b/>
          <w:sz w:val="18"/>
          <w:szCs w:val="18"/>
        </w:rPr>
        <w:t>d</w:t>
      </w:r>
      <w:r w:rsidRPr="004B0ED3">
        <w:rPr>
          <w:rFonts w:ascii="Palatino Linotype" w:eastAsia="CIDFont+F2" w:hAnsi="Palatino Linotype" w:cs="CIDFont+F2"/>
          <w:sz w:val="18"/>
          <w:szCs w:val="18"/>
        </w:rPr>
        <w:t>-</w:t>
      </w:r>
      <w:r w:rsidRPr="00B33C20">
        <w:rPr>
          <w:rFonts w:ascii="Palatino Linotype" w:eastAsia="CIDFont+F2" w:hAnsi="Palatino Linotype" w:cs="CIDFont+F2"/>
          <w:b/>
          <w:sz w:val="18"/>
          <w:szCs w:val="18"/>
        </w:rPr>
        <w:t>f</w:t>
      </w:r>
      <w:r w:rsidRPr="004B0ED3">
        <w:rPr>
          <w:rFonts w:ascii="Palatino Linotype" w:eastAsia="CIDFont+F2" w:hAnsi="Palatino Linotype" w:cs="CIDFont+F2"/>
          <w:sz w:val="18"/>
          <w:szCs w:val="18"/>
        </w:rPr>
        <w:t xml:space="preserve">) </w:t>
      </w:r>
      <w:r w:rsidRPr="004B0ED3">
        <w:rPr>
          <w:rFonts w:ascii="Palatino Linotype" w:eastAsia="CIDFont+F3" w:hAnsi="Palatino Linotype" w:cs="CIDFont+F3"/>
          <w:sz w:val="18"/>
          <w:szCs w:val="18"/>
        </w:rPr>
        <w:t>Vacuole staining by FM4-64 (3 h) shows NET4A</w:t>
      </w:r>
      <w:r>
        <w:rPr>
          <w:rFonts w:ascii="Palatino Linotype" w:eastAsia="CIDFont+F2" w:hAnsi="Palatino Linotype" w:cs="CIDFont+F2"/>
          <w:sz w:val="18"/>
          <w:szCs w:val="18"/>
        </w:rPr>
        <w:t xml:space="preserve"> </w:t>
      </w:r>
      <w:r w:rsidRPr="004B0ED3">
        <w:rPr>
          <w:rFonts w:ascii="Palatino Linotype" w:eastAsia="CIDFont+F3" w:hAnsi="Palatino Linotype" w:cs="CIDFont+F3"/>
          <w:sz w:val="18"/>
          <w:szCs w:val="18"/>
        </w:rPr>
        <w:t xml:space="preserve">colocalization at the tonoplast. White arrowheads highlight punctate signals. </w:t>
      </w:r>
      <w:r w:rsidRPr="004B0ED3">
        <w:rPr>
          <w:rFonts w:ascii="Palatino Linotype" w:eastAsia="CIDFont+F2" w:hAnsi="Palatino Linotype" w:cs="CIDFont+F2"/>
          <w:sz w:val="18"/>
          <w:szCs w:val="18"/>
        </w:rPr>
        <w:t>(</w:t>
      </w:r>
      <w:r w:rsidRPr="00B33C20">
        <w:rPr>
          <w:rFonts w:ascii="Palatino Linotype" w:eastAsia="CIDFont+F2" w:hAnsi="Palatino Linotype" w:cs="CIDFont+F2"/>
          <w:b/>
          <w:sz w:val="18"/>
          <w:szCs w:val="18"/>
        </w:rPr>
        <w:t>g</w:t>
      </w:r>
      <w:r w:rsidRPr="004B0ED3">
        <w:rPr>
          <w:rFonts w:ascii="Palatino Linotype" w:eastAsia="CIDFont+F2" w:hAnsi="Palatino Linotype" w:cs="CIDFont+F2"/>
          <w:sz w:val="18"/>
          <w:szCs w:val="18"/>
        </w:rPr>
        <w:t>-</w:t>
      </w:r>
      <w:r w:rsidRPr="00B33C20">
        <w:rPr>
          <w:rFonts w:ascii="Palatino Linotype" w:eastAsia="CIDFont+F2" w:hAnsi="Palatino Linotype" w:cs="CIDFont+F2"/>
          <w:b/>
          <w:sz w:val="18"/>
          <w:szCs w:val="18"/>
        </w:rPr>
        <w:t>i</w:t>
      </w:r>
      <w:r w:rsidRPr="004B0ED3">
        <w:rPr>
          <w:rFonts w:ascii="Palatino Linotype" w:eastAsia="CIDFont+F2" w:hAnsi="Palatino Linotype" w:cs="CIDFont+F2"/>
          <w:sz w:val="18"/>
          <w:szCs w:val="18"/>
        </w:rPr>
        <w:t xml:space="preserve">) </w:t>
      </w:r>
      <w:r w:rsidRPr="004B0ED3">
        <w:rPr>
          <w:rFonts w:ascii="Palatino Linotype" w:eastAsia="CIDFont+F3" w:hAnsi="Palatino Linotype" w:cs="CIDFont+F3"/>
          <w:sz w:val="18"/>
          <w:szCs w:val="18"/>
        </w:rPr>
        <w:t>More constricted</w:t>
      </w:r>
      <w:r>
        <w:rPr>
          <w:rFonts w:ascii="Palatino Linotype" w:eastAsia="CIDFont+F2" w:hAnsi="Palatino Linotype" w:cs="CIDFont+F2"/>
          <w:sz w:val="18"/>
          <w:szCs w:val="18"/>
        </w:rPr>
        <w:t xml:space="preserve"> </w:t>
      </w:r>
      <w:r w:rsidRPr="004B0ED3">
        <w:rPr>
          <w:rFonts w:ascii="Palatino Linotype" w:eastAsia="CIDFont+F3" w:hAnsi="Palatino Linotype" w:cs="CIDFont+F3"/>
          <w:sz w:val="18"/>
          <w:szCs w:val="18"/>
        </w:rPr>
        <w:t>vacuoles in trichoblast cells (</w:t>
      </w:r>
      <w:r w:rsidRPr="00B33C20">
        <w:rPr>
          <w:rFonts w:ascii="Palatino Linotype" w:eastAsia="CIDFont+F3" w:hAnsi="Palatino Linotype" w:cs="CIDFont+F3"/>
          <w:i/>
          <w:sz w:val="18"/>
          <w:szCs w:val="18"/>
        </w:rPr>
        <w:t>n</w:t>
      </w:r>
      <w:r w:rsidR="00B33C20">
        <w:rPr>
          <w:rFonts w:ascii="Palatino Linotype" w:eastAsia="CIDFont+F3" w:hAnsi="Palatino Linotype" w:cs="CIDFont+F3"/>
          <w:sz w:val="18"/>
          <w:szCs w:val="18"/>
        </w:rPr>
        <w:t xml:space="preserve"> </w:t>
      </w:r>
      <w:r w:rsidRPr="004B0ED3">
        <w:rPr>
          <w:rFonts w:ascii="Palatino Linotype" w:eastAsia="CIDFont+F3" w:hAnsi="Palatino Linotype" w:cs="CIDFont+F3"/>
          <w:sz w:val="18"/>
          <w:szCs w:val="18"/>
        </w:rPr>
        <w:t>=</w:t>
      </w:r>
      <w:r w:rsidR="00B33C20">
        <w:rPr>
          <w:rFonts w:ascii="Palatino Linotype" w:eastAsia="CIDFont+F3" w:hAnsi="Palatino Linotype" w:cs="CIDFont+F3"/>
          <w:sz w:val="18"/>
          <w:szCs w:val="18"/>
        </w:rPr>
        <w:t xml:space="preserve"> </w:t>
      </w:r>
      <w:r w:rsidRPr="004B0ED3">
        <w:rPr>
          <w:rFonts w:ascii="Palatino Linotype" w:eastAsia="CIDFont+F3" w:hAnsi="Palatino Linotype" w:cs="CIDFont+F3"/>
          <w:sz w:val="18"/>
          <w:szCs w:val="18"/>
        </w:rPr>
        <w:t>34) show a higher signal accumulation per area in comparison to less</w:t>
      </w:r>
      <w:r>
        <w:rPr>
          <w:rFonts w:ascii="Palatino Linotype" w:eastAsia="CIDFont+F2" w:hAnsi="Palatino Linotype" w:cs="CIDFont+F2"/>
          <w:sz w:val="18"/>
          <w:szCs w:val="18"/>
        </w:rPr>
        <w:t xml:space="preserve"> </w:t>
      </w:r>
      <w:r w:rsidRPr="004B0ED3">
        <w:rPr>
          <w:rFonts w:ascii="Palatino Linotype" w:eastAsia="CIDFont+F3" w:hAnsi="Palatino Linotype" w:cs="CIDFont+F3"/>
          <w:sz w:val="18"/>
          <w:szCs w:val="18"/>
        </w:rPr>
        <w:t>folded vacuoles in atrichoblast cells (</w:t>
      </w:r>
      <w:r w:rsidRPr="00B33C20">
        <w:rPr>
          <w:rFonts w:ascii="Palatino Linotype" w:eastAsia="CIDFont+F3" w:hAnsi="Palatino Linotype" w:cs="CIDFont+F3"/>
          <w:i/>
          <w:sz w:val="18"/>
          <w:szCs w:val="18"/>
        </w:rPr>
        <w:t>n</w:t>
      </w:r>
      <w:r w:rsidR="00B33C20">
        <w:rPr>
          <w:rFonts w:ascii="Palatino Linotype" w:eastAsia="CIDFont+F3" w:hAnsi="Palatino Linotype" w:cs="CIDFont+F3"/>
          <w:sz w:val="18"/>
          <w:szCs w:val="18"/>
        </w:rPr>
        <w:t xml:space="preserve"> </w:t>
      </w:r>
      <w:r w:rsidRPr="004B0ED3">
        <w:rPr>
          <w:rFonts w:ascii="Palatino Linotype" w:eastAsia="CIDFont+F3" w:hAnsi="Palatino Linotype" w:cs="CIDFont+F3"/>
          <w:sz w:val="18"/>
          <w:szCs w:val="18"/>
        </w:rPr>
        <w:t>=</w:t>
      </w:r>
      <w:r w:rsidR="00B33C20">
        <w:rPr>
          <w:rFonts w:ascii="Palatino Linotype" w:eastAsia="CIDFont+F3" w:hAnsi="Palatino Linotype" w:cs="CIDFont+F3"/>
          <w:sz w:val="18"/>
          <w:szCs w:val="18"/>
        </w:rPr>
        <w:t xml:space="preserve"> </w:t>
      </w:r>
      <w:r w:rsidRPr="004B0ED3">
        <w:rPr>
          <w:rFonts w:ascii="Palatino Linotype" w:eastAsia="CIDFont+F3" w:hAnsi="Palatino Linotype" w:cs="CIDFont+F3"/>
          <w:sz w:val="18"/>
          <w:szCs w:val="18"/>
        </w:rPr>
        <w:t>35). Propidium iodide was used to stain cell walls, FM4-64 to</w:t>
      </w:r>
      <w:r>
        <w:rPr>
          <w:rFonts w:ascii="Palatino Linotype" w:eastAsia="CIDFont+F2" w:hAnsi="Palatino Linotype" w:cs="CIDFont+F2"/>
          <w:sz w:val="18"/>
          <w:szCs w:val="18"/>
        </w:rPr>
        <w:t xml:space="preserve"> </w:t>
      </w:r>
      <w:r w:rsidRPr="004B0ED3">
        <w:rPr>
          <w:rFonts w:ascii="Palatino Linotype" w:eastAsia="CIDFont+F3" w:hAnsi="Palatino Linotype" w:cs="CIDFont+F3"/>
          <w:sz w:val="18"/>
          <w:szCs w:val="18"/>
        </w:rPr>
        <w:t xml:space="preserve">stain the tonoplast. Error bars represent s.e.m. Student’s t-test, </w:t>
      </w:r>
      <w:r w:rsidRPr="00B33C20">
        <w:rPr>
          <w:rFonts w:ascii="Palatino Linotype" w:eastAsia="CIDFont+F3" w:hAnsi="Palatino Linotype" w:cs="CIDFont+F3"/>
          <w:i/>
          <w:sz w:val="18"/>
          <w:szCs w:val="18"/>
        </w:rPr>
        <w:t>p</w:t>
      </w:r>
      <w:r w:rsidRPr="004B0ED3">
        <w:rPr>
          <w:rFonts w:ascii="Palatino Linotype" w:eastAsia="CIDFont+F3" w:hAnsi="Palatino Linotype" w:cs="CIDFont+F3"/>
          <w:sz w:val="18"/>
          <w:szCs w:val="18"/>
        </w:rPr>
        <w:t>-values: ***</w:t>
      </w:r>
      <w:r w:rsidR="00B33C20">
        <w:rPr>
          <w:rFonts w:ascii="Palatino Linotype" w:eastAsia="CIDFont+F3" w:hAnsi="Palatino Linotype" w:cs="CIDFont+F3"/>
          <w:sz w:val="18"/>
          <w:szCs w:val="18"/>
        </w:rPr>
        <w:t xml:space="preserve"> </w:t>
      </w:r>
      <w:r w:rsidRPr="00B33C20">
        <w:rPr>
          <w:rFonts w:ascii="Palatino Linotype" w:eastAsia="CIDFont+F3" w:hAnsi="Palatino Linotype" w:cs="CIDFont+F3"/>
          <w:i/>
          <w:sz w:val="18"/>
          <w:szCs w:val="18"/>
        </w:rPr>
        <w:t>p</w:t>
      </w:r>
      <w:r w:rsidRPr="004B0ED3">
        <w:rPr>
          <w:rFonts w:ascii="Palatino Linotype" w:eastAsia="CIDFont+F3" w:hAnsi="Palatino Linotype" w:cs="CIDFont+F3"/>
          <w:sz w:val="18"/>
          <w:szCs w:val="18"/>
        </w:rPr>
        <w:t xml:space="preserve"> &lt; 0.001. Scale bars: 5 μm.</w:t>
      </w:r>
    </w:p>
    <w:p w14:paraId="746ECE88" w14:textId="77777777" w:rsidR="005F336B" w:rsidRPr="00B33C20" w:rsidRDefault="005F336B" w:rsidP="00B33C20">
      <w:pPr>
        <w:spacing w:before="240" w:after="120" w:line="260" w:lineRule="atLeast"/>
        <w:ind w:left="425" w:right="425"/>
        <w:jc w:val="center"/>
        <w:rPr>
          <w:rFonts w:ascii="Palatino Linotype" w:hAnsi="Palatino Linotype" w:cs="Arial"/>
          <w:sz w:val="18"/>
          <w:szCs w:val="18"/>
        </w:rPr>
      </w:pPr>
      <w:r w:rsidRPr="00B33C20">
        <w:rPr>
          <w:rFonts w:ascii="Palatino Linotype" w:hAnsi="Palatino Linotype" w:cs="Arial"/>
          <w:sz w:val="18"/>
          <w:szCs w:val="18"/>
        </w:rPr>
        <w:t>Table S1: Used primers</w:t>
      </w:r>
      <w:r w:rsidR="00B33C20">
        <w:rPr>
          <w:rFonts w:ascii="Palatino Linotype" w:hAnsi="Palatino Linotype" w:cs="Arial"/>
          <w:sz w:val="18"/>
          <w:szCs w:val="18"/>
        </w:rPr>
        <w:t>.</w:t>
      </w:r>
    </w:p>
    <w:tbl>
      <w:tblPr>
        <w:tblStyle w:val="TableGrid"/>
        <w:tblW w:w="0" w:type="auto"/>
        <w:jc w:val="center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82"/>
        <w:gridCol w:w="6765"/>
      </w:tblGrid>
      <w:tr w:rsidR="00B33C20" w:rsidRPr="00B33C20" w14:paraId="4313D1C3" w14:textId="77777777" w:rsidTr="00B33C20">
        <w:trPr>
          <w:jc w:val="center"/>
        </w:trPr>
        <w:tc>
          <w:tcPr>
            <w:tcW w:w="0" w:type="auto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9F62836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b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b/>
                <w:sz w:val="16"/>
                <w:szCs w:val="16"/>
                <w:lang w:val="en-US"/>
              </w:rPr>
              <w:t>Gateway Cloning Primers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37177F5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b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b/>
                <w:sz w:val="16"/>
                <w:szCs w:val="16"/>
                <w:lang w:val="en-US"/>
              </w:rPr>
              <w:t>Sequence</w:t>
            </w:r>
          </w:p>
        </w:tc>
      </w:tr>
      <w:tr w:rsidR="00B33C20" w:rsidRPr="00B33C20" w14:paraId="4465B6D6" w14:textId="77777777" w:rsidTr="00B33C20">
        <w:trPr>
          <w:jc w:val="center"/>
        </w:trPr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A6304EC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lastRenderedPageBreak/>
              <w:t>NET4A_FW</w:t>
            </w: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3C0BED4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GGGGACAAGTTTGTACAAAAAAGCAGGCTTTATGGATTATGATCTGCTTCGTTC</w:t>
            </w:r>
          </w:p>
        </w:tc>
      </w:tr>
      <w:tr w:rsidR="00B33C20" w:rsidRPr="00B33C20" w14:paraId="3F47266F" w14:textId="77777777" w:rsidTr="00B33C20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D241845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NET4A_REV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CC3D174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GGGGACAAGTTTGTACAAAAAAGCAGGCTTAAGAAGCAAGAATGGATGATG</w:t>
            </w:r>
          </w:p>
        </w:tc>
      </w:tr>
      <w:tr w:rsidR="00B33C20" w:rsidRPr="00B33C20" w14:paraId="4553799C" w14:textId="77777777" w:rsidTr="00B33C20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79A3B41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b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b/>
                <w:sz w:val="16"/>
                <w:szCs w:val="16"/>
                <w:lang w:val="en-US"/>
              </w:rPr>
              <w:t>Genotyping Primers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2DFF8AA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b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b/>
                <w:sz w:val="16"/>
                <w:szCs w:val="16"/>
                <w:lang w:val="en-US"/>
              </w:rPr>
              <w:t>Sequence</w:t>
            </w:r>
          </w:p>
        </w:tc>
      </w:tr>
      <w:tr w:rsidR="00B33C20" w:rsidRPr="00B33C20" w14:paraId="20B77382" w14:textId="77777777" w:rsidTr="00B33C20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E6D2612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SALK</w:t>
            </w:r>
            <w:bookmarkStart w:id="0" w:name="_GoBack"/>
            <w:bookmarkEnd w:id="0"/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_LBb1.3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C5A568F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ATTTTGCCGATTTCGGAAC</w:t>
            </w:r>
          </w:p>
        </w:tc>
      </w:tr>
      <w:tr w:rsidR="00B33C20" w:rsidRPr="00B33C20" w14:paraId="730A3711" w14:textId="77777777" w:rsidTr="00B33C20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8D7079C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SALK_017623(S1)_FW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C4BCD28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AATGGATGATGGTCTTGTTGG</w:t>
            </w:r>
          </w:p>
        </w:tc>
      </w:tr>
      <w:tr w:rsidR="00B33C20" w:rsidRPr="00B33C20" w14:paraId="24A0F328" w14:textId="77777777" w:rsidTr="00B33C20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9EF8893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SALK_017623(S1)_REV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55763EB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GAACACTGAGAGCTTGTTGCC</w:t>
            </w:r>
          </w:p>
        </w:tc>
      </w:tr>
      <w:tr w:rsidR="00B33C20" w:rsidRPr="00B33C20" w14:paraId="097A8BAE" w14:textId="77777777" w:rsidTr="00B33C20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D9D15A1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SALK_056957_net4b_FW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E53A200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AATCACGATAGAGCCACATGC</w:t>
            </w:r>
          </w:p>
        </w:tc>
      </w:tr>
      <w:tr w:rsidR="00B33C20" w:rsidRPr="00B33C20" w14:paraId="487FCA1E" w14:textId="77777777" w:rsidTr="00B33C20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D4D5619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SALK_056957_net4b_REV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AECC649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TACATGCGGTAGAATTCCTCG</w:t>
            </w:r>
          </w:p>
        </w:tc>
      </w:tr>
      <w:tr w:rsidR="00B33C20" w:rsidRPr="00B33C20" w14:paraId="5A2DF574" w14:textId="77777777" w:rsidTr="00B33C20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979B471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SALK_010530C(S3)_FW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D0C4131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TAGTCGCTTACACATTGGCAG</w:t>
            </w:r>
          </w:p>
        </w:tc>
      </w:tr>
      <w:tr w:rsidR="00B33C20" w:rsidRPr="00B33C20" w14:paraId="7E5F17B9" w14:textId="77777777" w:rsidTr="00B33C20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02E3856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SALK_010530C(S3)_REV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83402DF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TGAGAATTCGGTTGTTTTTGG</w:t>
            </w:r>
          </w:p>
        </w:tc>
      </w:tr>
      <w:tr w:rsidR="00B33C20" w:rsidRPr="00B33C20" w14:paraId="0011D2F1" w14:textId="77777777" w:rsidTr="00B33C20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11E1802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SALK_083604C(S4)_FW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A8BCBB0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TCCGGGTTGTTAGCTGTACAG</w:t>
            </w:r>
          </w:p>
        </w:tc>
      </w:tr>
      <w:tr w:rsidR="00B33C20" w:rsidRPr="00B33C20" w14:paraId="3F5D66BA" w14:textId="77777777" w:rsidTr="00B33C20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6D61D46" w14:textId="507267D2" w:rsidR="005F336B" w:rsidRPr="00B33C20" w:rsidRDefault="00140D37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>
              <w:rPr>
                <w:rFonts w:ascii="Palatino Linotype" w:hAnsi="Palatino Linotype" w:cs="Arial"/>
                <w:sz w:val="16"/>
                <w:szCs w:val="16"/>
                <w:lang w:val="en-US"/>
              </w:rPr>
              <w:t>SALK_083604C(S4)_REV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F2DE957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CATCTGGGTTGGATGATGAAC</w:t>
            </w:r>
          </w:p>
        </w:tc>
      </w:tr>
      <w:tr w:rsidR="00B33C20" w:rsidRPr="00B33C20" w14:paraId="276AFAA9" w14:textId="77777777" w:rsidTr="00B33C20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D3AC947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b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b/>
                <w:sz w:val="16"/>
                <w:szCs w:val="16"/>
                <w:lang w:val="en-US"/>
              </w:rPr>
              <w:t>qRT-PCR Primers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348B595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b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b/>
                <w:sz w:val="16"/>
                <w:szCs w:val="16"/>
                <w:lang w:val="en-US"/>
              </w:rPr>
              <w:t>Sequence</w:t>
            </w:r>
          </w:p>
        </w:tc>
      </w:tr>
      <w:tr w:rsidR="00B33C20" w:rsidRPr="00B33C20" w14:paraId="3EDE8613" w14:textId="77777777" w:rsidTr="00B33C20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E1EDD97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UBQ-5_fw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127CC8A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GACGCTTCATCTCGTCC</w:t>
            </w:r>
          </w:p>
        </w:tc>
      </w:tr>
      <w:tr w:rsidR="00B33C20" w:rsidRPr="00B33C20" w14:paraId="2EEAF6B6" w14:textId="77777777" w:rsidTr="00B33C20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9CA6CBA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UBQ-5_rev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5BA1600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GTAAACGTAGGTGAGTCCA</w:t>
            </w:r>
          </w:p>
        </w:tc>
      </w:tr>
      <w:tr w:rsidR="00B33C20" w:rsidRPr="00B33C20" w14:paraId="02697E58" w14:textId="77777777" w:rsidTr="00B33C20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7076F80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NET4A_FW (1)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34D2AA3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GGGGACAAGTTTGTACAAAAAAGCAGGCTTTATGGATTATGATCTGCTTCGTTC</w:t>
            </w:r>
          </w:p>
        </w:tc>
      </w:tr>
      <w:tr w:rsidR="00B33C20" w:rsidRPr="00B33C20" w14:paraId="1C3922E2" w14:textId="77777777" w:rsidTr="00B33C20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420A241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NET4A_REV (2)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2FD5882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GGGGACAAGTTTGTACAAAAAAGCAGGCTTAAGAAGCAAGAATGGATGATG</w:t>
            </w:r>
          </w:p>
        </w:tc>
      </w:tr>
      <w:tr w:rsidR="00B33C20" w:rsidRPr="00B33C20" w14:paraId="37AFA2C7" w14:textId="77777777" w:rsidTr="00B33C20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6FBFFA8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NET4B_FW (3)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C8BBBC8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GGGGACAAGTTTGTACAAAAAAGCAGGCTTTATGGCTTCGTCTACGGCTCAG</w:t>
            </w:r>
          </w:p>
        </w:tc>
      </w:tr>
      <w:tr w:rsidR="00B33C20" w:rsidRPr="00B33C20" w14:paraId="633BC7F2" w14:textId="77777777" w:rsidTr="00B33C20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8046BD4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NET4B_REV (4)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CA9A56C" w14:textId="77777777" w:rsidR="005F336B" w:rsidRPr="00B33C20" w:rsidRDefault="005F336B" w:rsidP="00B33C2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Palatino Linotype" w:hAnsi="Palatino Linotype" w:cs="Arial"/>
                <w:sz w:val="16"/>
                <w:szCs w:val="16"/>
                <w:lang w:val="en-US"/>
              </w:rPr>
            </w:pPr>
            <w:r w:rsidRPr="00B33C20">
              <w:rPr>
                <w:rFonts w:ascii="Palatino Linotype" w:hAnsi="Palatino Linotype" w:cs="Arial"/>
                <w:sz w:val="16"/>
                <w:szCs w:val="16"/>
                <w:lang w:val="en-US"/>
              </w:rPr>
              <w:t>GGGGACAAGTTTGTACAAAAAAGCAGGCTTTCAAGTTGATAAGACCACTACTCTCTT</w:t>
            </w:r>
          </w:p>
        </w:tc>
      </w:tr>
    </w:tbl>
    <w:p w14:paraId="07727319" w14:textId="77777777" w:rsidR="005F336B" w:rsidRPr="004B0ED3" w:rsidRDefault="005F336B" w:rsidP="004B0ED3">
      <w:pPr>
        <w:autoSpaceDE w:val="0"/>
        <w:autoSpaceDN w:val="0"/>
        <w:adjustRightInd w:val="0"/>
        <w:spacing w:after="0" w:line="240" w:lineRule="auto"/>
        <w:rPr>
          <w:rFonts w:ascii="Palatino Linotype" w:eastAsia="CIDFont+F2" w:hAnsi="Palatino Linotype" w:cs="CIDFont+F2"/>
          <w:sz w:val="18"/>
          <w:szCs w:val="18"/>
        </w:rPr>
      </w:pPr>
    </w:p>
    <w:sectPr w:rsidR="005F336B" w:rsidRPr="004B0ED3" w:rsidSect="004B0ED3">
      <w:type w:val="continuous"/>
      <w:pgSz w:w="11909" w:h="16834"/>
      <w:pgMar w:top="1417" w:right="1531" w:bottom="1077" w:left="1531" w:header="1020" w:footer="85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23753A5" w14:textId="77777777" w:rsidR="00582C11" w:rsidRDefault="00582C11" w:rsidP="004B0ED3">
      <w:pPr>
        <w:spacing w:after="0" w:line="240" w:lineRule="auto"/>
      </w:pPr>
      <w:r>
        <w:separator/>
      </w:r>
    </w:p>
  </w:endnote>
  <w:endnote w:type="continuationSeparator" w:id="0">
    <w:p w14:paraId="7FB06D16" w14:textId="77777777" w:rsidR="00582C11" w:rsidRDefault="00582C11" w:rsidP="004B0E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IDFont+F2">
    <w:altName w:val="宋体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CIDFont+F3">
    <w:altName w:val="宋体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5E30D06" w14:textId="77777777" w:rsidR="00582C11" w:rsidRDefault="00582C11" w:rsidP="004B0ED3">
      <w:pPr>
        <w:spacing w:after="0" w:line="240" w:lineRule="auto"/>
      </w:pPr>
      <w:r>
        <w:separator/>
      </w:r>
    </w:p>
  </w:footnote>
  <w:footnote w:type="continuationSeparator" w:id="0">
    <w:p w14:paraId="3C310913" w14:textId="77777777" w:rsidR="00582C11" w:rsidRDefault="00582C11" w:rsidP="004B0ED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6C2A"/>
    <w:rsid w:val="00085D33"/>
    <w:rsid w:val="00115135"/>
    <w:rsid w:val="00140D37"/>
    <w:rsid w:val="00177721"/>
    <w:rsid w:val="002D5E2A"/>
    <w:rsid w:val="002F2202"/>
    <w:rsid w:val="00426C2A"/>
    <w:rsid w:val="004A025B"/>
    <w:rsid w:val="004B0ED3"/>
    <w:rsid w:val="00582C11"/>
    <w:rsid w:val="005F336B"/>
    <w:rsid w:val="00896E8B"/>
    <w:rsid w:val="009B6478"/>
    <w:rsid w:val="00B33C20"/>
    <w:rsid w:val="00C757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AA6DBEF"/>
  <w15:chartTrackingRefBased/>
  <w15:docId w15:val="{CFF756C6-6DE7-4FBC-B5A3-A526FC77BE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B0ED3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B0ED3"/>
  </w:style>
  <w:style w:type="paragraph" w:styleId="Footer">
    <w:name w:val="footer"/>
    <w:basedOn w:val="Normal"/>
    <w:link w:val="FooterChar"/>
    <w:uiPriority w:val="99"/>
    <w:unhideWhenUsed/>
    <w:rsid w:val="004B0ED3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B0ED3"/>
  </w:style>
  <w:style w:type="paragraph" w:styleId="NoSpacing">
    <w:name w:val="No Spacing"/>
    <w:uiPriority w:val="1"/>
    <w:qFormat/>
    <w:rsid w:val="004B0ED3"/>
    <w:pPr>
      <w:spacing w:after="0" w:line="240" w:lineRule="auto"/>
    </w:pPr>
    <w:rPr>
      <w:rFonts w:eastAsiaTheme="minorHAnsi"/>
      <w:lang w:val="de-DE" w:eastAsia="en-US"/>
    </w:rPr>
  </w:style>
  <w:style w:type="table" w:styleId="TableGrid">
    <w:name w:val="Table Grid"/>
    <w:basedOn w:val="TableNormal"/>
    <w:uiPriority w:val="39"/>
    <w:rsid w:val="005F336B"/>
    <w:pPr>
      <w:spacing w:after="0" w:line="240" w:lineRule="auto"/>
    </w:pPr>
    <w:rPr>
      <w:rFonts w:eastAsiaTheme="minorHAnsi"/>
      <w:lang w:val="de-DE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B33C2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33C2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33C2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33C2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33C20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33C2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33C2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497</Words>
  <Characters>2835</Characters>
  <Application>Microsoft Office Word</Application>
  <DocSecurity>0</DocSecurity>
  <Lines>23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S</vt:lpstr>
      <vt:lpstr>S</vt:lpstr>
    </vt:vector>
  </TitlesOfParts>
  <Company/>
  <LinksUpToDate>false</LinksUpToDate>
  <CharactersWithSpaces>3326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</dc:title>
  <dc:subject/>
  <dc:creator>MDPI</dc:creator>
  <cp:keywords/>
  <dc:description/>
  <cp:lastModifiedBy>MDPI</cp:lastModifiedBy>
  <cp:revision>3</cp:revision>
  <dcterms:created xsi:type="dcterms:W3CDTF">2019-09-25T02:43:00Z</dcterms:created>
  <dcterms:modified xsi:type="dcterms:W3CDTF">2019-09-25T02:45:00Z</dcterms:modified>
</cp:coreProperties>
</file>